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 xml:space="preserve">I will provide book access once assigned. Must be completed by </w:t>
      </w:r>
      <w:r w:rsidR="008C3611">
        <w:rPr>
          <w:rFonts w:ascii="inherit" w:eastAsia="Times New Roman" w:hAnsi="inherit" w:cs="Times New Roman"/>
          <w:b/>
          <w:bCs/>
          <w:color w:val="000000"/>
          <w:sz w:val="24"/>
          <w:szCs w:val="24"/>
          <w:bdr w:val="none" w:sz="0" w:space="0" w:color="auto" w:frame="1"/>
        </w:rPr>
        <w:t>Saturday</w:t>
      </w:r>
      <w:r>
        <w:rPr>
          <w:rFonts w:ascii="inherit" w:eastAsia="Times New Roman" w:hAnsi="inherit" w:cs="Times New Roman"/>
          <w:b/>
          <w:bCs/>
          <w:color w:val="000000"/>
          <w:sz w:val="24"/>
          <w:szCs w:val="24"/>
          <w:bdr w:val="none" w:sz="0" w:space="0" w:color="auto" w:frame="1"/>
        </w:rPr>
        <w:t xml:space="preserve"> 1-</w:t>
      </w:r>
      <w:r w:rsidR="008C3611">
        <w:rPr>
          <w:rFonts w:ascii="inherit" w:eastAsia="Times New Roman" w:hAnsi="inherit" w:cs="Times New Roman"/>
          <w:b/>
          <w:bCs/>
          <w:color w:val="000000"/>
          <w:sz w:val="24"/>
          <w:szCs w:val="24"/>
          <w:bdr w:val="none" w:sz="0" w:space="0" w:color="auto" w:frame="1"/>
        </w:rPr>
        <w:t>2</w:t>
      </w:r>
      <w:r w:rsidR="003E5B31">
        <w:rPr>
          <w:rFonts w:ascii="inherit" w:eastAsia="Times New Roman" w:hAnsi="inherit" w:cs="Times New Roman"/>
          <w:b/>
          <w:bCs/>
          <w:color w:val="000000"/>
          <w:sz w:val="24"/>
          <w:szCs w:val="24"/>
          <w:bdr w:val="none" w:sz="0" w:space="0" w:color="auto" w:frame="1"/>
        </w:rPr>
        <w:t>5</w:t>
      </w:r>
      <w:bookmarkStart w:id="0" w:name="_GoBack"/>
      <w:bookmarkEnd w:id="0"/>
      <w:r w:rsidR="004218B4">
        <w:rPr>
          <w:rFonts w:ascii="inherit" w:eastAsia="Times New Roman" w:hAnsi="inherit" w:cs="Times New Roman"/>
          <w:b/>
          <w:bCs/>
          <w:color w:val="000000"/>
          <w:sz w:val="24"/>
          <w:szCs w:val="24"/>
          <w:bdr w:val="none" w:sz="0" w:space="0" w:color="auto" w:frame="1"/>
        </w:rPr>
        <w:t xml:space="preserve">-20 </w:t>
      </w:r>
      <w:r>
        <w:rPr>
          <w:rFonts w:ascii="inherit" w:eastAsia="Times New Roman" w:hAnsi="inherit" w:cs="Times New Roman"/>
          <w:b/>
          <w:bCs/>
          <w:color w:val="000000"/>
          <w:sz w:val="24"/>
          <w:szCs w:val="24"/>
          <w:bdr w:val="none" w:sz="0" w:space="0" w:color="auto" w:frame="1"/>
        </w:rPr>
        <w:t>at 10:00pm Central Time.</w:t>
      </w:r>
      <w:r w:rsidR="004218B4">
        <w:rPr>
          <w:rFonts w:ascii="inherit" w:eastAsia="Times New Roman" w:hAnsi="inherit" w:cs="Times New Roman"/>
          <w:b/>
          <w:bCs/>
          <w:color w:val="000000"/>
          <w:sz w:val="24"/>
          <w:szCs w:val="24"/>
          <w:bdr w:val="none" w:sz="0" w:space="0" w:color="auto" w:frame="1"/>
        </w:rPr>
        <w:t xml:space="preserve"> Must complete part one and two</w:t>
      </w: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Part one:</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Read Chapters 4</w:t>
      </w:r>
      <w:r w:rsidR="008C3611">
        <w:rPr>
          <w:rFonts w:ascii="inherit" w:eastAsia="Times New Roman" w:hAnsi="inherit" w:cs="Times New Roman"/>
          <w:b/>
          <w:bCs/>
          <w:color w:val="000000"/>
          <w:sz w:val="24"/>
          <w:szCs w:val="24"/>
          <w:bdr w:val="none" w:sz="0" w:space="0" w:color="auto" w:frame="1"/>
        </w:rPr>
        <w:t>3</w:t>
      </w:r>
      <w:r w:rsidRPr="004218B4">
        <w:rPr>
          <w:rFonts w:ascii="inherit" w:eastAsia="Times New Roman" w:hAnsi="inherit" w:cs="Times New Roman"/>
          <w:b/>
          <w:bCs/>
          <w:color w:val="000000"/>
          <w:sz w:val="24"/>
          <w:szCs w:val="24"/>
          <w:bdr w:val="none" w:sz="0" w:space="0" w:color="auto" w:frame="1"/>
        </w:rPr>
        <w:t>-4</w:t>
      </w:r>
      <w:r w:rsidR="008C3611">
        <w:rPr>
          <w:rFonts w:ascii="inherit" w:eastAsia="Times New Roman" w:hAnsi="inherit" w:cs="Times New Roman"/>
          <w:b/>
          <w:bCs/>
          <w:color w:val="000000"/>
          <w:sz w:val="24"/>
          <w:szCs w:val="24"/>
          <w:bdr w:val="none" w:sz="0" w:space="0" w:color="auto" w:frame="1"/>
        </w:rPr>
        <w:t>4</w:t>
      </w:r>
      <w:r w:rsidRPr="004218B4">
        <w:rPr>
          <w:rFonts w:ascii="inherit" w:eastAsia="Times New Roman" w:hAnsi="inherit" w:cs="Times New Roman"/>
          <w:b/>
          <w:bCs/>
          <w:color w:val="000000"/>
          <w:sz w:val="24"/>
          <w:szCs w:val="24"/>
          <w:bdr w:val="none" w:sz="0" w:space="0" w:color="auto" w:frame="1"/>
        </w:rPr>
        <w:t>, answer these review questions and participate in class discussion posted below.</w:t>
      </w:r>
    </w:p>
    <w:p w:rsidR="008C3611" w:rsidRPr="008C3611" w:rsidRDefault="004218B4" w:rsidP="008C3611">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w:t>
      </w:r>
      <w:r w:rsidR="008C3611" w:rsidRPr="008C3611">
        <w:rPr>
          <w:rFonts w:ascii="inherit" w:eastAsia="Times New Roman" w:hAnsi="inherit" w:cs="Times New Roman"/>
          <w:b/>
          <w:bCs/>
          <w:color w:val="000000"/>
          <w:sz w:val="24"/>
          <w:szCs w:val="24"/>
          <w:bdr w:val="none" w:sz="0" w:space="0" w:color="auto" w:frame="1"/>
        </w:rPr>
        <w:t>.</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numPr>
          <w:ilvl w:val="0"/>
          <w:numId w:val="17"/>
        </w:numPr>
        <w:spacing w:after="0" w:line="240" w:lineRule="auto"/>
        <w:ind w:left="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We are aware how internet companies (Facebook, Google) face increasing pressure to guard contents against fraud and misinformation. Touchstone p. 955 summarizes steps by the FCC to monitor and police digital advertising. Review and describe criteria now applied to consumer ads placed on small online devices. In your online experience, is this necessary?</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numPr>
          <w:ilvl w:val="0"/>
          <w:numId w:val="18"/>
        </w:numPr>
        <w:spacing w:after="0" w:line="240" w:lineRule="auto"/>
        <w:ind w:left="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xml:space="preserve">Review protections offered to consumers through the Fair Credit Reporting and Equal Credit Opportunity Acts.  In Review q. 6 p 971 we read that Machelle’s application for a credit card was denied due to a poor credit rating based on her zip code address. </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What rights does Machelle have in challenging her credit report? Is her zip code a valid factor in her credit   application?</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numPr>
          <w:ilvl w:val="0"/>
          <w:numId w:val="19"/>
        </w:numPr>
        <w:spacing w:after="0" w:line="240" w:lineRule="auto"/>
        <w:ind w:left="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We read in Review q. 9 p 971 how the unfortunate Golden was pursued by a collection agency for debts owed to the Mayo clinic. How are collection agencies restrained by law when contacting debtors like Golden?</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numPr>
          <w:ilvl w:val="0"/>
          <w:numId w:val="20"/>
        </w:numPr>
        <w:spacing w:after="0" w:line="240" w:lineRule="auto"/>
        <w:ind w:left="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Review the goals of the National Environmental Policy Act summarized on p 975. We see that promoting general welfare   and productive harmony is a broad focus of this important legislation.</w:t>
      </w:r>
    </w:p>
    <w:p w:rsidR="008C3611" w:rsidRPr="008C3611" w:rsidRDefault="008C3611" w:rsidP="008C3611">
      <w:pPr>
        <w:spacing w:after="0" w:line="240" w:lineRule="auto"/>
        <w:ind w:left="72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xml:space="preserve">Touchstone that follows (p 975-976), describes how a citizens group sued the Nuclear Regulatory Commission to deny the operation of Three Mile Island nuclear power plant. They claimed that a previous accident at the plant harmed their psychological wellbeing, although the accident was contained without release of toxic pollution in the general vicinity of the plant. </w:t>
      </w:r>
    </w:p>
    <w:p w:rsidR="008C3611" w:rsidRPr="008C3611" w:rsidRDefault="008C3611" w:rsidP="008C3611">
      <w:pPr>
        <w:spacing w:after="0" w:line="240" w:lineRule="auto"/>
        <w:ind w:left="72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How did the US Supreme Court weigh the claim of risk to psychological wellbeing? Do you feel risk is just a part of civic life or should agencies be required to abate fears in the neighborhood?</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numPr>
          <w:ilvl w:val="0"/>
          <w:numId w:val="21"/>
        </w:numPr>
        <w:spacing w:after="0" w:line="240" w:lineRule="auto"/>
        <w:ind w:left="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We read that the enforcement of the US Clean Water Act requires discharge permits for releasing waste into navigable      waters from a defined point source.</w:t>
      </w:r>
    </w:p>
    <w:p w:rsidR="008C3611" w:rsidRPr="008C3611" w:rsidRDefault="008C3611" w:rsidP="008C3611">
      <w:pPr>
        <w:spacing w:after="0" w:line="240" w:lineRule="auto"/>
        <w:ind w:left="72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In Case 44.2 Colvin v. United States (p 983-984), Mr. Colvin deposited, bulldozed and buried industrial waste near the shore line of inland, shallow waters called the Salton Sea. What was his defense?</w:t>
      </w:r>
    </w:p>
    <w:p w:rsidR="008C3611" w:rsidRPr="008C3611" w:rsidRDefault="008C3611" w:rsidP="008C3611">
      <w:pPr>
        <w:spacing w:after="0" w:line="240" w:lineRule="auto"/>
        <w:ind w:left="720"/>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xml:space="preserve">How could the Clean Water Act be applied when the inland water was not navigable like </w:t>
      </w: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t>PART TWO</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b/>
          <w:bCs/>
          <w:color w:val="000000"/>
          <w:sz w:val="24"/>
          <w:szCs w:val="24"/>
          <w:bdr w:val="none" w:sz="0" w:space="0" w:color="auto" w:frame="1"/>
        </w:rPr>
        <w:t>Case 44.3 p. 988-989 United States v Timmons Corp</w:t>
      </w:r>
    </w:p>
    <w:p w:rsidR="008C3611" w:rsidRDefault="008C3611" w:rsidP="008C3611">
      <w:pPr>
        <w:spacing w:after="0" w:line="240" w:lineRule="auto"/>
        <w:rPr>
          <w:rFonts w:ascii="inherit" w:eastAsia="Times New Roman" w:hAnsi="inherit" w:cs="Times New Roman"/>
          <w:color w:val="000000"/>
          <w:sz w:val="24"/>
          <w:szCs w:val="24"/>
          <w:bdr w:val="none" w:sz="0" w:space="0" w:color="auto" w:frame="1"/>
        </w:rPr>
      </w:pPr>
    </w:p>
    <w:p w:rsidR="008C3611" w:rsidRPr="008C3611" w:rsidRDefault="008C3611" w:rsidP="008C3611">
      <w:pPr>
        <w:pStyle w:val="ListParagraph"/>
        <w:numPr>
          <w:ilvl w:val="0"/>
          <w:numId w:val="22"/>
        </w:num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The case weighs this defense: that a person who purchases property containing dangerous toxic waste may claim innocence of liability due to previous owner’s violations. Timmons bought an industrial site from a bankrupt manufacturer with intention to start a new business on the property. After his purchase, the EPA documented extensive PCB pollution from abandoned transformers and assigned cleanup costs to Timmons over a million dollars.</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pStyle w:val="ListParagraph"/>
        <w:numPr>
          <w:ilvl w:val="0"/>
          <w:numId w:val="22"/>
        </w:num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How did the District Court weigh Timmons claim of innocent landowner? What actions were required of the new landowner, Timmons, to show freedom from liability to environmental damage?</w:t>
      </w:r>
    </w:p>
    <w:p w:rsidR="008C3611" w:rsidRPr="008C3611" w:rsidRDefault="008C3611" w:rsidP="008C3611">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w:t>
      </w:r>
    </w:p>
    <w:p w:rsidR="008C3611" w:rsidRPr="008C3611" w:rsidRDefault="008C3611" w:rsidP="008C3611">
      <w:pPr>
        <w:pStyle w:val="ListParagraph"/>
        <w:numPr>
          <w:ilvl w:val="0"/>
          <w:numId w:val="22"/>
        </w:num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What reasonable and prudent actions should any business undertake to avoid liability for expensive environmental problems when purchasing land for development?</w:t>
      </w: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6B11"/>
    <w:multiLevelType w:val="multilevel"/>
    <w:tmpl w:val="71AEA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855CD6"/>
    <w:multiLevelType w:val="multilevel"/>
    <w:tmpl w:val="ABB2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417E6"/>
    <w:multiLevelType w:val="multilevel"/>
    <w:tmpl w:val="1EC26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0B292E"/>
    <w:multiLevelType w:val="multilevel"/>
    <w:tmpl w:val="E53CF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E2CB8"/>
    <w:multiLevelType w:val="multilevel"/>
    <w:tmpl w:val="B4444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4F07F9"/>
    <w:multiLevelType w:val="multilevel"/>
    <w:tmpl w:val="2842DF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6D202C"/>
    <w:multiLevelType w:val="multilevel"/>
    <w:tmpl w:val="D17048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EF5E08"/>
    <w:multiLevelType w:val="hybridMultilevel"/>
    <w:tmpl w:val="91B40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9603BA"/>
    <w:multiLevelType w:val="multilevel"/>
    <w:tmpl w:val="3880E9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B91865"/>
    <w:multiLevelType w:val="multilevel"/>
    <w:tmpl w:val="09A4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CF3F0D"/>
    <w:multiLevelType w:val="multilevel"/>
    <w:tmpl w:val="304675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B4706C"/>
    <w:multiLevelType w:val="multilevel"/>
    <w:tmpl w:val="548E2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963908"/>
    <w:multiLevelType w:val="multilevel"/>
    <w:tmpl w:val="70B8C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21171B"/>
    <w:multiLevelType w:val="multilevel"/>
    <w:tmpl w:val="388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4"/>
  </w:num>
  <w:num w:numId="3">
    <w:abstractNumId w:val="2"/>
  </w:num>
  <w:num w:numId="4">
    <w:abstractNumId w:val="12"/>
  </w:num>
  <w:num w:numId="5">
    <w:abstractNumId w:val="14"/>
  </w:num>
  <w:num w:numId="6">
    <w:abstractNumId w:val="21"/>
  </w:num>
  <w:num w:numId="7">
    <w:abstractNumId w:val="11"/>
  </w:num>
  <w:num w:numId="8">
    <w:abstractNumId w:val="16"/>
  </w:num>
  <w:num w:numId="9">
    <w:abstractNumId w:val="20"/>
  </w:num>
  <w:num w:numId="10">
    <w:abstractNumId w:val="19"/>
  </w:num>
  <w:num w:numId="11">
    <w:abstractNumId w:val="6"/>
  </w:num>
  <w:num w:numId="12">
    <w:abstractNumId w:val="0"/>
  </w:num>
  <w:num w:numId="13">
    <w:abstractNumId w:val="5"/>
  </w:num>
  <w:num w:numId="14">
    <w:abstractNumId w:val="1"/>
  </w:num>
  <w:num w:numId="15">
    <w:abstractNumId w:val="18"/>
  </w:num>
  <w:num w:numId="16">
    <w:abstractNumId w:val="17"/>
  </w:num>
  <w:num w:numId="17">
    <w:abstractNumId w:val="13"/>
  </w:num>
  <w:num w:numId="18">
    <w:abstractNumId w:val="10"/>
  </w:num>
  <w:num w:numId="19">
    <w:abstractNumId w:val="7"/>
  </w:num>
  <w:num w:numId="20">
    <w:abstractNumId w:val="3"/>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36622E"/>
    <w:rsid w:val="003E5B31"/>
    <w:rsid w:val="004218B4"/>
    <w:rsid w:val="008001CB"/>
    <w:rsid w:val="008C3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46964"/>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 w:type="paragraph" w:styleId="ListParagraph">
    <w:name w:val="List Paragraph"/>
    <w:basedOn w:val="Normal"/>
    <w:uiPriority w:val="34"/>
    <w:qFormat/>
    <w:rsid w:val="008C3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110045">
      <w:bodyDiv w:val="1"/>
      <w:marLeft w:val="0"/>
      <w:marRight w:val="0"/>
      <w:marTop w:val="0"/>
      <w:marBottom w:val="0"/>
      <w:divBdr>
        <w:top w:val="none" w:sz="0" w:space="0" w:color="auto"/>
        <w:left w:val="none" w:sz="0" w:space="0" w:color="auto"/>
        <w:bottom w:val="none" w:sz="0" w:space="0" w:color="auto"/>
        <w:right w:val="none" w:sz="0" w:space="0" w:color="auto"/>
      </w:divBdr>
    </w:div>
    <w:div w:id="1214972342">
      <w:bodyDiv w:val="1"/>
      <w:marLeft w:val="0"/>
      <w:marRight w:val="0"/>
      <w:marTop w:val="0"/>
      <w:marBottom w:val="0"/>
      <w:divBdr>
        <w:top w:val="none" w:sz="0" w:space="0" w:color="auto"/>
        <w:left w:val="none" w:sz="0" w:space="0" w:color="auto"/>
        <w:bottom w:val="none" w:sz="0" w:space="0" w:color="auto"/>
        <w:right w:val="none" w:sz="0" w:space="0" w:color="auto"/>
      </w:divBdr>
    </w:div>
    <w:div w:id="1261379799">
      <w:bodyDiv w:val="1"/>
      <w:marLeft w:val="0"/>
      <w:marRight w:val="0"/>
      <w:marTop w:val="0"/>
      <w:marBottom w:val="0"/>
      <w:divBdr>
        <w:top w:val="none" w:sz="0" w:space="0" w:color="auto"/>
        <w:left w:val="none" w:sz="0" w:space="0" w:color="auto"/>
        <w:bottom w:val="none" w:sz="0" w:space="0" w:color="auto"/>
        <w:right w:val="none" w:sz="0" w:space="0" w:color="auto"/>
      </w:divBdr>
    </w:div>
    <w:div w:id="1374960605">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3</cp:revision>
  <dcterms:created xsi:type="dcterms:W3CDTF">2020-01-23T23:56:00Z</dcterms:created>
  <dcterms:modified xsi:type="dcterms:W3CDTF">2020-01-23T23:59:00Z</dcterms:modified>
</cp:coreProperties>
</file>